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140" w:before="280" w:line="300" w:lineRule="auto"/>
        <w:rPr>
          <w:rFonts w:ascii="Calibri" w:cs="Calibri" w:eastAsia="Calibri" w:hAnsi="Calibri"/>
          <w:b w:val="1"/>
          <w:bCs w:val="1"/>
          <w:color w:val="0b2545"/>
          <w:sz w:val="26"/>
          <w:szCs w:val="26"/>
        </w:rPr>
      </w:pPr>
      <w:r w:rsidDel="00000000" w:rsidR="00000000" w:rsidRPr="00000000">
        <w:rPr>
          <w:rFonts w:ascii="Calibri" w:cs="Calibri" w:eastAsia="Calibri" w:hAnsi="Calibri"/>
          <w:b w:val="1"/>
          <w:bCs w:val="1"/>
          <w:color w:val="0b2545"/>
          <w:sz w:val="26"/>
          <w:szCs w:val="26"/>
          <w:rtl w:val="0"/>
        </w:rPr>
        <w:t xml:space="preserve">Frequently asked questions</w:t>
      </w:r>
    </w:p>
    <w:p w:rsidR="00000000" w:rsidDel="00000000" w:rsidP="00000000" w:rsidRDefault="00000000" w:rsidRPr="00000000" w14:paraId="00000002">
      <w:pPr>
        <w:keepNext w:val="1"/>
        <w:spacing w:after="120" w:line="300" w:lineRule="auto"/>
        <w:rPr>
          <w:rFonts w:ascii="Calibri" w:cs="Calibri" w:eastAsia="Calibri" w:hAnsi="Calibri"/>
          <w:color w:val="263546"/>
        </w:rPr>
      </w:pPr>
      <w:r w:rsidDel="00000000" w:rsidR="00000000" w:rsidRPr="00000000">
        <w:rPr>
          <w:rFonts w:ascii="Calibri" w:cs="Calibri" w:eastAsia="Calibri" w:hAnsi="Calibri"/>
          <w:b w:val="1"/>
          <w:bCs w:val="1"/>
          <w:color w:val="0b2545"/>
          <w:rtl w:val="0"/>
        </w:rPr>
        <w:t xml:space="preserve">Who is this for?</w:t>
      </w:r>
      <w:r w:rsidDel="00000000" w:rsidR="00000000" w:rsidRPr="00000000">
        <w:rPr>
          <w:rtl w:val="0"/>
        </w:rPr>
      </w:r>
    </w:p>
    <w:p w:rsidR="00000000" w:rsidDel="00000000" w:rsidP="00000000" w:rsidRDefault="00000000" w:rsidRPr="00000000" w14:paraId="00000003">
      <w:pPr>
        <w:spacing w:after="120" w:line="300" w:lineRule="auto"/>
        <w:rPr>
          <w:rFonts w:ascii="Calibri" w:cs="Calibri" w:eastAsia="Calibri" w:hAnsi="Calibri"/>
          <w:color w:val="263546"/>
        </w:rPr>
      </w:pPr>
      <w:r w:rsidDel="00000000" w:rsidR="00000000" w:rsidRPr="00000000">
        <w:rPr>
          <w:rFonts w:ascii="Calibri" w:cs="Calibri" w:eastAsia="Calibri" w:hAnsi="Calibri"/>
          <w:color w:val="263546"/>
          <w:rtl w:val="0"/>
        </w:rPr>
        <w:t xml:space="preserve">This pathway is designed for high-school students participating in NCFCA speech or debate who are ready for an accelerated, college-level communication course.</w:t>
      </w:r>
    </w:p>
    <w:p w:rsidR="00000000" w:rsidDel="00000000" w:rsidP="00000000" w:rsidRDefault="00000000" w:rsidRPr="00000000" w14:paraId="00000004">
      <w:pPr>
        <w:keepNext w:val="1"/>
        <w:spacing w:after="120" w:line="300" w:lineRule="auto"/>
        <w:rPr>
          <w:rFonts w:ascii="Calibri" w:cs="Calibri" w:eastAsia="Calibri" w:hAnsi="Calibri"/>
          <w:color w:val="263546"/>
        </w:rPr>
      </w:pPr>
      <w:r w:rsidDel="00000000" w:rsidR="00000000" w:rsidRPr="00000000">
        <w:rPr>
          <w:rFonts w:ascii="Calibri" w:cs="Calibri" w:eastAsia="Calibri" w:hAnsi="Calibri"/>
          <w:b w:val="1"/>
          <w:bCs w:val="1"/>
          <w:color w:val="0b2545"/>
          <w:rtl w:val="0"/>
        </w:rPr>
        <w:t xml:space="preserve">Is this automatic college credit for NCFCA participation?</w:t>
      </w:r>
      <w:r w:rsidDel="00000000" w:rsidR="00000000" w:rsidRPr="00000000">
        <w:rPr>
          <w:rtl w:val="0"/>
        </w:rPr>
      </w:r>
    </w:p>
    <w:p w:rsidR="00000000" w:rsidDel="00000000" w:rsidP="00000000" w:rsidRDefault="00000000" w:rsidRPr="00000000" w14:paraId="00000005">
      <w:pPr>
        <w:spacing w:after="120" w:line="300" w:lineRule="auto"/>
        <w:rPr>
          <w:rFonts w:ascii="Calibri" w:cs="Calibri" w:eastAsia="Calibri" w:hAnsi="Calibri"/>
          <w:color w:val="263546"/>
        </w:rPr>
      </w:pPr>
      <w:r w:rsidDel="00000000" w:rsidR="00000000" w:rsidRPr="00000000">
        <w:rPr>
          <w:rFonts w:ascii="Calibri" w:cs="Calibri" w:eastAsia="Calibri" w:hAnsi="Calibri"/>
          <w:color w:val="263546"/>
          <w:rtl w:val="0"/>
        </w:rPr>
        <w:t xml:space="preserve">No. Students must enroll in COMM 1443 and successfully complete all official course requirements.</w:t>
      </w:r>
    </w:p>
    <w:p w:rsidR="00000000" w:rsidDel="00000000" w:rsidP="00000000" w:rsidRDefault="00000000" w:rsidRPr="00000000" w14:paraId="00000006">
      <w:pPr>
        <w:keepNext w:val="1"/>
        <w:spacing w:after="120" w:line="300" w:lineRule="auto"/>
        <w:rPr>
          <w:rFonts w:ascii="Calibri" w:cs="Calibri" w:eastAsia="Calibri" w:hAnsi="Calibri"/>
          <w:color w:val="263546"/>
        </w:rPr>
      </w:pPr>
      <w:r w:rsidDel="00000000" w:rsidR="00000000" w:rsidRPr="00000000">
        <w:rPr>
          <w:rFonts w:ascii="Calibri" w:cs="Calibri" w:eastAsia="Calibri" w:hAnsi="Calibri"/>
          <w:b w:val="1"/>
          <w:bCs w:val="1"/>
          <w:color w:val="0b2545"/>
          <w:rtl w:val="0"/>
        </w:rPr>
        <w:t xml:space="preserve">Can students submit a speech they have already prepared?</w:t>
      </w:r>
      <w:r w:rsidDel="00000000" w:rsidR="00000000" w:rsidRPr="00000000">
        <w:rPr>
          <w:rtl w:val="0"/>
        </w:rPr>
      </w:r>
    </w:p>
    <w:p w:rsidR="00000000" w:rsidDel="00000000" w:rsidP="00000000" w:rsidRDefault="00000000" w:rsidRPr="00000000" w14:paraId="00000007">
      <w:pPr>
        <w:spacing w:after="120" w:line="300" w:lineRule="auto"/>
        <w:rPr>
          <w:rFonts w:ascii="Calibri" w:cs="Calibri" w:eastAsia="Calibri" w:hAnsi="Calibri"/>
          <w:color w:val="263546"/>
        </w:rPr>
      </w:pPr>
      <w:r w:rsidDel="00000000" w:rsidR="00000000" w:rsidRPr="00000000">
        <w:rPr>
          <w:rFonts w:ascii="Calibri" w:cs="Calibri" w:eastAsia="Calibri" w:hAnsi="Calibri"/>
          <w:color w:val="263546"/>
          <w:rtl w:val="0"/>
        </w:rPr>
        <w:t xml:space="preserve">An existing speech may be a strong starting point, but it is not automatically a finished college submission. The student must adapt it to the selected prompt and meet the required learning outcomes, audience, structure, research, citations, length, delivery, and written components.</w:t>
      </w:r>
    </w:p>
    <w:p w:rsidR="00000000" w:rsidDel="00000000" w:rsidP="00000000" w:rsidRDefault="00000000" w:rsidRPr="00000000" w14:paraId="00000008">
      <w:pPr>
        <w:keepNext w:val="1"/>
        <w:spacing w:after="120" w:line="300" w:lineRule="auto"/>
        <w:rPr>
          <w:rFonts w:ascii="Calibri" w:cs="Calibri" w:eastAsia="Calibri" w:hAnsi="Calibri"/>
          <w:color w:val="263546"/>
        </w:rPr>
      </w:pPr>
      <w:r w:rsidDel="00000000" w:rsidR="00000000" w:rsidRPr="00000000">
        <w:rPr>
          <w:rFonts w:ascii="Calibri" w:cs="Calibri" w:eastAsia="Calibri" w:hAnsi="Calibri"/>
          <w:b w:val="1"/>
          <w:bCs w:val="1"/>
          <w:color w:val="0b2545"/>
          <w:rtl w:val="0"/>
        </w:rPr>
        <w:t xml:space="preserve">Can students design their NCFCA work around a course prompt?</w:t>
      </w:r>
      <w:r w:rsidDel="00000000" w:rsidR="00000000" w:rsidRPr="00000000">
        <w:rPr>
          <w:rtl w:val="0"/>
        </w:rPr>
      </w:r>
    </w:p>
    <w:p w:rsidR="00000000" w:rsidDel="00000000" w:rsidP="00000000" w:rsidRDefault="00000000" w:rsidRPr="00000000" w14:paraId="00000009">
      <w:pPr>
        <w:spacing w:after="120" w:line="300" w:lineRule="auto"/>
        <w:rPr>
          <w:rFonts w:ascii="Calibri" w:cs="Calibri" w:eastAsia="Calibri" w:hAnsi="Calibri"/>
          <w:color w:val="263546"/>
        </w:rPr>
      </w:pPr>
      <w:r w:rsidDel="00000000" w:rsidR="00000000" w:rsidRPr="00000000">
        <w:rPr>
          <w:rFonts w:ascii="Calibri" w:cs="Calibri" w:eastAsia="Calibri" w:hAnsi="Calibri"/>
          <w:color w:val="263546"/>
          <w:rtl w:val="0"/>
        </w:rPr>
        <w:t xml:space="preserve">Yes. This is one of the strongest uses of the pathway. A student can choose a broad prompt, plan a new speech or research project with that prompt in mind, use the work for NCFCA preparation, and then adapt the final artifact for the college assessment.</w:t>
      </w:r>
    </w:p>
    <w:p w:rsidR="00000000" w:rsidDel="00000000" w:rsidP="00000000" w:rsidRDefault="00000000" w:rsidRPr="00000000" w14:paraId="0000000A">
      <w:pPr>
        <w:keepNext w:val="1"/>
        <w:spacing w:after="120" w:line="300" w:lineRule="auto"/>
        <w:rPr>
          <w:rFonts w:ascii="Calibri" w:cs="Calibri" w:eastAsia="Calibri" w:hAnsi="Calibri"/>
          <w:color w:val="263546"/>
        </w:rPr>
      </w:pPr>
      <w:r w:rsidDel="00000000" w:rsidR="00000000" w:rsidRPr="00000000">
        <w:rPr>
          <w:rFonts w:ascii="Calibri" w:cs="Calibri" w:eastAsia="Calibri" w:hAnsi="Calibri"/>
          <w:b w:val="1"/>
          <w:bCs w:val="1"/>
          <w:color w:val="0b2545"/>
          <w:rtl w:val="0"/>
        </w:rPr>
        <w:t xml:space="preserve">Can debate work be used?</w:t>
      </w:r>
      <w:r w:rsidDel="00000000" w:rsidR="00000000" w:rsidRPr="00000000">
        <w:rPr>
          <w:rtl w:val="0"/>
        </w:rPr>
      </w:r>
    </w:p>
    <w:p w:rsidR="00000000" w:rsidDel="00000000" w:rsidP="00000000" w:rsidRDefault="00000000" w:rsidRPr="00000000" w14:paraId="0000000B">
      <w:pPr>
        <w:spacing w:after="120" w:line="300" w:lineRule="auto"/>
        <w:rPr>
          <w:rFonts w:ascii="Calibri" w:cs="Calibri" w:eastAsia="Calibri" w:hAnsi="Calibri"/>
          <w:color w:val="263546"/>
        </w:rPr>
      </w:pPr>
      <w:r w:rsidDel="00000000" w:rsidR="00000000" w:rsidRPr="00000000">
        <w:rPr>
          <w:rFonts w:ascii="Calibri" w:cs="Calibri" w:eastAsia="Calibri" w:hAnsi="Calibri"/>
          <w:color w:val="263546"/>
          <w:rtl w:val="0"/>
        </w:rPr>
        <w:t xml:space="preserve">Research and argumentation from Policy or Lincoln-Douglas debate may be useful for a persuasive or research-based assessment. The work generally needs to be reshaped as a stand-alone speech or presentation that meets the selected prompt.</w:t>
      </w:r>
    </w:p>
    <w:p w:rsidR="00000000" w:rsidDel="00000000" w:rsidP="00000000" w:rsidRDefault="00000000" w:rsidRPr="00000000" w14:paraId="0000000C">
      <w:pPr>
        <w:keepNext w:val="1"/>
        <w:spacing w:after="120" w:line="300" w:lineRule="auto"/>
        <w:rPr>
          <w:rFonts w:ascii="Calibri" w:cs="Calibri" w:eastAsia="Calibri" w:hAnsi="Calibri"/>
          <w:color w:val="263546"/>
        </w:rPr>
      </w:pPr>
      <w:r w:rsidDel="00000000" w:rsidR="00000000" w:rsidRPr="00000000">
        <w:rPr>
          <w:rFonts w:ascii="Calibri" w:cs="Calibri" w:eastAsia="Calibri" w:hAnsi="Calibri"/>
          <w:b w:val="1"/>
          <w:bCs w:val="1"/>
          <w:color w:val="0b2545"/>
          <w:rtl w:val="0"/>
        </w:rPr>
        <w:t xml:space="preserve">Can Apologetics or Extemporaneous work be used?</w:t>
      </w:r>
      <w:r w:rsidDel="00000000" w:rsidR="00000000" w:rsidRPr="00000000">
        <w:rPr>
          <w:rtl w:val="0"/>
        </w:rPr>
      </w:r>
    </w:p>
    <w:p w:rsidR="00000000" w:rsidDel="00000000" w:rsidP="00000000" w:rsidRDefault="00000000" w:rsidRPr="00000000" w14:paraId="0000000D">
      <w:pPr>
        <w:spacing w:after="120" w:line="300" w:lineRule="auto"/>
        <w:rPr>
          <w:rFonts w:ascii="Calibri" w:cs="Calibri" w:eastAsia="Calibri" w:hAnsi="Calibri"/>
          <w:color w:val="263546"/>
        </w:rPr>
      </w:pPr>
      <w:r w:rsidDel="00000000" w:rsidR="00000000" w:rsidRPr="00000000">
        <w:rPr>
          <w:rFonts w:ascii="Calibri" w:cs="Calibri" w:eastAsia="Calibri" w:hAnsi="Calibri"/>
          <w:color w:val="263546"/>
          <w:rtl w:val="0"/>
        </w:rPr>
        <w:t xml:space="preserve">It may provide a useful foundation, particularly for a worldview or social-issue prompt, but the final submission must meet the course's full research, organization, citation, length, and format requirements.</w:t>
      </w:r>
    </w:p>
    <w:p w:rsidR="00000000" w:rsidDel="00000000" w:rsidP="00000000" w:rsidRDefault="00000000" w:rsidRPr="00000000" w14:paraId="0000000E">
      <w:pPr>
        <w:keepNext w:val="1"/>
        <w:spacing w:after="120" w:line="300" w:lineRule="auto"/>
        <w:rPr>
          <w:rFonts w:ascii="Calibri" w:cs="Calibri" w:eastAsia="Calibri" w:hAnsi="Calibri"/>
          <w:color w:val="263546"/>
        </w:rPr>
      </w:pPr>
      <w:r w:rsidDel="00000000" w:rsidR="00000000" w:rsidRPr="00000000">
        <w:rPr>
          <w:rFonts w:ascii="Calibri" w:cs="Calibri" w:eastAsia="Calibri" w:hAnsi="Calibri"/>
          <w:b w:val="1"/>
          <w:bCs w:val="1"/>
          <w:color w:val="0b2545"/>
          <w:rtl w:val="0"/>
        </w:rPr>
        <w:t xml:space="preserve">Who grades the work?</w:t>
      </w:r>
      <w:r w:rsidDel="00000000" w:rsidR="00000000" w:rsidRPr="00000000">
        <w:rPr>
          <w:rtl w:val="0"/>
        </w:rPr>
      </w:r>
    </w:p>
    <w:p w:rsidR="00000000" w:rsidDel="00000000" w:rsidP="00000000" w:rsidRDefault="00000000" w:rsidRPr="00000000" w14:paraId="0000000F">
      <w:pPr>
        <w:spacing w:after="120" w:line="300" w:lineRule="auto"/>
        <w:rPr>
          <w:rFonts w:ascii="Calibri" w:cs="Calibri" w:eastAsia="Calibri" w:hAnsi="Calibri"/>
          <w:color w:val="263546"/>
        </w:rPr>
      </w:pPr>
      <w:r w:rsidDel="00000000" w:rsidR="00000000" w:rsidRPr="00000000">
        <w:rPr>
          <w:rFonts w:ascii="Calibri" w:cs="Calibri" w:eastAsia="Calibri" w:hAnsi="Calibri"/>
          <w:color w:val="263546"/>
          <w:rtl w:val="0"/>
        </w:rPr>
        <w:t xml:space="preserve">Official course submissions are evaluated in the Southeastern University course environment according to the COMM 1443 syllabus and grading rubric.</w:t>
      </w:r>
    </w:p>
    <w:p w:rsidR="00000000" w:rsidDel="00000000" w:rsidP="00000000" w:rsidRDefault="00000000" w:rsidRPr="00000000" w14:paraId="00000010">
      <w:pPr>
        <w:keepNext w:val="1"/>
        <w:spacing w:after="120" w:line="300" w:lineRule="auto"/>
        <w:rPr>
          <w:rFonts w:ascii="Calibri" w:cs="Calibri" w:eastAsia="Calibri" w:hAnsi="Calibri"/>
          <w:color w:val="263546"/>
        </w:rPr>
      </w:pPr>
      <w:r w:rsidDel="00000000" w:rsidR="00000000" w:rsidRPr="00000000">
        <w:rPr>
          <w:rFonts w:ascii="Calibri" w:cs="Calibri" w:eastAsia="Calibri" w:hAnsi="Calibri"/>
          <w:b w:val="1"/>
          <w:bCs w:val="1"/>
          <w:color w:val="0b2545"/>
          <w:rtl w:val="0"/>
        </w:rPr>
        <w:t xml:space="preserve">How much work should students expect?</w:t>
      </w:r>
      <w:r w:rsidDel="00000000" w:rsidR="00000000" w:rsidRPr="00000000">
        <w:rPr>
          <w:rtl w:val="0"/>
        </w:rPr>
      </w:r>
    </w:p>
    <w:p w:rsidR="00000000" w:rsidDel="00000000" w:rsidP="00000000" w:rsidRDefault="00000000" w:rsidRPr="00000000" w14:paraId="00000011">
      <w:pPr>
        <w:spacing w:after="120" w:line="300" w:lineRule="auto"/>
        <w:rPr>
          <w:rFonts w:ascii="Calibri" w:cs="Calibri" w:eastAsia="Calibri" w:hAnsi="Calibri"/>
          <w:color w:val="263546"/>
        </w:rPr>
      </w:pPr>
      <w:r w:rsidDel="00000000" w:rsidR="00000000" w:rsidRPr="00000000">
        <w:rPr>
          <w:rFonts w:ascii="Calibri" w:cs="Calibri" w:eastAsia="Calibri" w:hAnsi="Calibri"/>
          <w:color w:val="263546"/>
          <w:rtl w:val="0"/>
        </w:rPr>
        <w:t xml:space="preserve">Study and assessment preparation begin August 26 and continue throughout the fall semester through NCFCA research, writing, and speech development. During the official eight-week Fall B assessment window, the syllabus estimates approximately 6-9 hours per week. Individual workload varies based on the student's preparation and selected formats.</w:t>
      </w:r>
    </w:p>
    <w:p w:rsidR="00000000" w:rsidDel="00000000" w:rsidP="00000000" w:rsidRDefault="00000000" w:rsidRPr="00000000" w14:paraId="00000012">
      <w:pPr>
        <w:keepNext w:val="1"/>
        <w:spacing w:after="120" w:line="300" w:lineRule="auto"/>
        <w:rPr>
          <w:rFonts w:ascii="Calibri" w:cs="Calibri" w:eastAsia="Calibri" w:hAnsi="Calibri"/>
          <w:color w:val="263546"/>
        </w:rPr>
      </w:pPr>
      <w:r w:rsidDel="00000000" w:rsidR="00000000" w:rsidRPr="00000000">
        <w:rPr>
          <w:rFonts w:ascii="Calibri" w:cs="Calibri" w:eastAsia="Calibri" w:hAnsi="Calibri"/>
          <w:b w:val="1"/>
          <w:bCs w:val="1"/>
          <w:color w:val="0b2545"/>
          <w:rtl w:val="0"/>
        </w:rPr>
        <w:t xml:space="preserve">Which textbook do students use?</w:t>
      </w:r>
      <w:r w:rsidDel="00000000" w:rsidR="00000000" w:rsidRPr="00000000">
        <w:rPr>
          <w:rtl w:val="0"/>
        </w:rPr>
      </w:r>
    </w:p>
    <w:p w:rsidR="00000000" w:rsidDel="00000000" w:rsidP="00000000" w:rsidRDefault="00000000" w:rsidRPr="00000000" w14:paraId="00000013">
      <w:pPr>
        <w:spacing w:after="120" w:line="300" w:lineRule="auto"/>
        <w:rPr>
          <w:rFonts w:ascii="Calibri" w:cs="Calibri" w:eastAsia="Calibri" w:hAnsi="Calibri"/>
          <w:color w:val="263546"/>
        </w:rPr>
      </w:pPr>
      <w:r w:rsidDel="00000000" w:rsidR="00000000" w:rsidRPr="00000000">
        <w:rPr>
          <w:rFonts w:ascii="Calibri" w:cs="Calibri" w:eastAsia="Calibri" w:hAnsi="Calibri"/>
          <w:color w:val="263546"/>
          <w:rtl w:val="0"/>
        </w:rPr>
        <w:t xml:space="preserve">Students use their NCFCA curriculum or other speech and debate curriculum as the course's learning foundation. The books listed in the assessment syllabus are optional supplemental references, not required textbooks or required purchases for this pathway.</w:t>
      </w:r>
    </w:p>
    <w:p w:rsidR="00000000" w:rsidDel="00000000" w:rsidP="00000000" w:rsidRDefault="00000000" w:rsidRPr="00000000" w14:paraId="00000014">
      <w:pPr>
        <w:keepNext w:val="1"/>
        <w:spacing w:after="120" w:line="300" w:lineRule="auto"/>
        <w:rPr>
          <w:rFonts w:ascii="Calibri" w:cs="Calibri" w:eastAsia="Calibri" w:hAnsi="Calibri"/>
          <w:color w:val="263546"/>
        </w:rPr>
      </w:pPr>
      <w:r w:rsidDel="00000000" w:rsidR="00000000" w:rsidRPr="00000000">
        <w:rPr>
          <w:rFonts w:ascii="Calibri" w:cs="Calibri" w:eastAsia="Calibri" w:hAnsi="Calibri"/>
          <w:b w:val="1"/>
          <w:bCs w:val="1"/>
          <w:color w:val="0b2545"/>
          <w:rtl w:val="0"/>
        </w:rPr>
        <w:t xml:space="preserve">What format should students use for the major assessments?</w:t>
      </w:r>
      <w:r w:rsidDel="00000000" w:rsidR="00000000" w:rsidRPr="00000000">
        <w:rPr>
          <w:rtl w:val="0"/>
        </w:rPr>
      </w:r>
    </w:p>
    <w:p w:rsidR="00000000" w:rsidDel="00000000" w:rsidP="00000000" w:rsidRDefault="00000000" w:rsidRPr="00000000" w14:paraId="00000015">
      <w:pPr>
        <w:spacing w:after="120" w:line="300" w:lineRule="auto"/>
        <w:rPr>
          <w:rFonts w:ascii="Calibri" w:cs="Calibri" w:eastAsia="Calibri" w:hAnsi="Calibri"/>
          <w:color w:val="263546"/>
        </w:rPr>
      </w:pPr>
      <w:r w:rsidDel="00000000" w:rsidR="00000000" w:rsidRPr="00000000">
        <w:rPr>
          <w:rFonts w:ascii="Calibri" w:cs="Calibri" w:eastAsia="Calibri" w:hAnsi="Calibri"/>
          <w:color w:val="263546"/>
          <w:rtl w:val="0"/>
        </w:rPr>
        <w:t xml:space="preserve">The syllabus permits multiple formats, but the companion guide recommends an essay for Assessment 1 because it is primarily rhetorical analysis. It recommends recorded speeches for Assessments 2 and 3 because those assessments emphasize delivery, audience adaptation, research, and organization.</w:t>
      </w:r>
    </w:p>
    <w:p w:rsidR="00000000" w:rsidDel="00000000" w:rsidP="00000000" w:rsidRDefault="00000000" w:rsidRPr="00000000" w14:paraId="00000016">
      <w:pPr>
        <w:keepNext w:val="1"/>
        <w:spacing w:after="120" w:line="300" w:lineRule="auto"/>
        <w:rPr>
          <w:rFonts w:ascii="Calibri" w:cs="Calibri" w:eastAsia="Calibri" w:hAnsi="Calibri"/>
          <w:color w:val="263546"/>
        </w:rPr>
      </w:pPr>
      <w:r w:rsidDel="00000000" w:rsidR="00000000" w:rsidRPr="00000000">
        <w:rPr>
          <w:rFonts w:ascii="Calibri" w:cs="Calibri" w:eastAsia="Calibri" w:hAnsi="Calibri"/>
          <w:b w:val="1"/>
          <w:bCs w:val="1"/>
          <w:color w:val="0b2545"/>
          <w:rtl w:val="0"/>
        </w:rPr>
        <w:t xml:space="preserve">When does the pathway begin if the graded assessments are in Fall B?</w:t>
      </w:r>
      <w:r w:rsidDel="00000000" w:rsidR="00000000" w:rsidRPr="00000000">
        <w:rPr>
          <w:rtl w:val="0"/>
        </w:rPr>
      </w:r>
    </w:p>
    <w:p w:rsidR="00000000" w:rsidDel="00000000" w:rsidP="00000000" w:rsidRDefault="00000000" w:rsidRPr="00000000" w14:paraId="00000017">
      <w:pPr>
        <w:spacing w:after="120" w:line="300" w:lineRule="auto"/>
        <w:rPr>
          <w:rFonts w:ascii="Calibri" w:cs="Calibri" w:eastAsia="Calibri" w:hAnsi="Calibri"/>
          <w:color w:val="263546"/>
        </w:rPr>
      </w:pPr>
      <w:r w:rsidDel="00000000" w:rsidR="00000000" w:rsidRPr="00000000">
        <w:rPr>
          <w:rFonts w:ascii="Calibri" w:cs="Calibri" w:eastAsia="Calibri" w:hAnsi="Calibri"/>
          <w:color w:val="263546"/>
          <w:rtl w:val="0"/>
        </w:rPr>
        <w:t xml:space="preserve">New student applications and registration remain open through August 26. Study and assessment preparation begin that day. The graded Fall B assessment window begins October 21.</w:t>
      </w:r>
    </w:p>
    <w:p w:rsidR="00000000" w:rsidDel="00000000" w:rsidP="00000000" w:rsidRDefault="00000000" w:rsidRPr="00000000" w14:paraId="00000018">
      <w:pPr>
        <w:keepNext w:val="1"/>
        <w:spacing w:after="120" w:line="300" w:lineRule="auto"/>
        <w:rPr>
          <w:rFonts w:ascii="Calibri" w:cs="Calibri" w:eastAsia="Calibri" w:hAnsi="Calibri"/>
          <w:color w:val="263546"/>
        </w:rPr>
      </w:pPr>
      <w:r w:rsidDel="00000000" w:rsidR="00000000" w:rsidRPr="00000000">
        <w:rPr>
          <w:rFonts w:ascii="Calibri" w:cs="Calibri" w:eastAsia="Calibri" w:hAnsi="Calibri"/>
          <w:b w:val="1"/>
          <w:bCs w:val="1"/>
          <w:color w:val="0b2545"/>
          <w:rtl w:val="0"/>
        </w:rPr>
        <w:t xml:space="preserve">Is the Fall 2026 section confirmed?</w:t>
      </w:r>
      <w:r w:rsidDel="00000000" w:rsidR="00000000" w:rsidRPr="00000000">
        <w:rPr>
          <w:rtl w:val="0"/>
        </w:rPr>
      </w:r>
    </w:p>
    <w:p w:rsidR="00000000" w:rsidDel="00000000" w:rsidP="00000000" w:rsidRDefault="00000000" w:rsidRPr="00000000" w14:paraId="00000019">
      <w:pPr>
        <w:spacing w:after="120" w:line="300" w:lineRule="auto"/>
        <w:rPr>
          <w:rFonts w:ascii="Calibri" w:cs="Calibri" w:eastAsia="Calibri" w:hAnsi="Calibri"/>
          <w:color w:val="263546"/>
        </w:rPr>
      </w:pPr>
      <w:r w:rsidDel="00000000" w:rsidR="00000000" w:rsidRPr="00000000">
        <w:rPr>
          <w:rFonts w:ascii="Calibri" w:cs="Calibri" w:eastAsia="Calibri" w:hAnsi="Calibri"/>
          <w:color w:val="263546"/>
          <w:rtl w:val="0"/>
        </w:rPr>
        <w:t xml:space="preserve">Yes. The class has already met its cohort requirement and is guaranteed to run.</w:t>
      </w:r>
    </w:p>
    <w:p w:rsidR="00000000" w:rsidDel="00000000" w:rsidP="00000000" w:rsidRDefault="00000000" w:rsidRPr="00000000" w14:paraId="0000001A">
      <w:pPr>
        <w:keepNext w:val="1"/>
        <w:spacing w:after="120" w:line="300" w:lineRule="auto"/>
        <w:rPr>
          <w:rFonts w:ascii="Calibri" w:cs="Calibri" w:eastAsia="Calibri" w:hAnsi="Calibri"/>
          <w:color w:val="263546"/>
        </w:rPr>
      </w:pPr>
      <w:r w:rsidDel="00000000" w:rsidR="00000000" w:rsidRPr="00000000">
        <w:rPr>
          <w:rFonts w:ascii="Calibri" w:cs="Calibri" w:eastAsia="Calibri" w:hAnsi="Calibri"/>
          <w:b w:val="1"/>
          <w:bCs w:val="1"/>
          <w:color w:val="0b2545"/>
          <w:rtl w:val="0"/>
        </w:rPr>
        <w:t xml:space="preserve">What is the difference between MyHall and the SEU course?</w:t>
      </w:r>
      <w:r w:rsidDel="00000000" w:rsidR="00000000" w:rsidRPr="00000000">
        <w:rPr>
          <w:rtl w:val="0"/>
        </w:rPr>
      </w:r>
    </w:p>
    <w:p w:rsidR="00000000" w:rsidDel="00000000" w:rsidP="00000000" w:rsidRDefault="00000000" w:rsidRPr="00000000" w14:paraId="0000001B">
      <w:pPr>
        <w:spacing w:after="120" w:line="300" w:lineRule="auto"/>
        <w:rPr>
          <w:rFonts w:ascii="Calibri" w:cs="Calibri" w:eastAsia="Calibri" w:hAnsi="Calibri"/>
          <w:color w:val="263546"/>
        </w:rPr>
      </w:pPr>
      <w:r w:rsidDel="00000000" w:rsidR="00000000" w:rsidRPr="00000000">
        <w:rPr>
          <w:rFonts w:ascii="Calibri" w:cs="Calibri" w:eastAsia="Calibri" w:hAnsi="Calibri"/>
          <w:color w:val="263546"/>
          <w:rtl w:val="0"/>
        </w:rPr>
        <w:t xml:space="preserve">The MyHall tutorial provides the NCFCA-specific roadmap, pre-course preparation, planning support, and reminders. The Southeastern University course environment contains the official assessment instructions, submissions, instructor communication, and grades.</w:t>
      </w:r>
    </w:p>
    <w:p w:rsidR="00000000" w:rsidDel="00000000" w:rsidP="00000000" w:rsidRDefault="00000000" w:rsidRPr="00000000" w14:paraId="0000001C">
      <w:pPr>
        <w:keepNext w:val="1"/>
        <w:spacing w:after="120" w:line="300" w:lineRule="auto"/>
        <w:rPr>
          <w:rFonts w:ascii="Calibri" w:cs="Calibri" w:eastAsia="Calibri" w:hAnsi="Calibri"/>
          <w:color w:val="263546"/>
        </w:rPr>
      </w:pPr>
      <w:r w:rsidDel="00000000" w:rsidR="00000000" w:rsidRPr="00000000">
        <w:rPr>
          <w:rFonts w:ascii="Calibri" w:cs="Calibri" w:eastAsia="Calibri" w:hAnsi="Calibri"/>
          <w:b w:val="1"/>
          <w:bCs w:val="1"/>
          <w:color w:val="0b2545"/>
          <w:rtl w:val="0"/>
        </w:rPr>
        <w:t xml:space="preserve">Will the credits transfer?</w:t>
      </w:r>
      <w:r w:rsidDel="00000000" w:rsidR="00000000" w:rsidRPr="00000000">
        <w:rPr>
          <w:rtl w:val="0"/>
        </w:rPr>
      </w:r>
    </w:p>
    <w:p w:rsidR="00000000" w:rsidDel="00000000" w:rsidP="00000000" w:rsidRDefault="00000000" w:rsidRPr="00000000" w14:paraId="0000001D">
      <w:pPr>
        <w:spacing w:after="120" w:line="300" w:lineRule="auto"/>
        <w:rPr/>
      </w:pPr>
      <w:r w:rsidDel="00000000" w:rsidR="00000000" w:rsidRPr="00000000">
        <w:rPr>
          <w:rFonts w:ascii="Roboto" w:cs="Roboto" w:eastAsia="Roboto" w:hAnsi="Roboto"/>
          <w:color w:val="444746"/>
          <w:sz w:val="21"/>
          <w:szCs w:val="21"/>
          <w:rtl w:val="0"/>
        </w:rPr>
        <w:t xml:space="preserve">Southeastern University is a regionally accredited university, so the transferability would be similar to any other accredited university.</w:t>
      </w:r>
      <w:r w:rsidDel="00000000" w:rsidR="00000000" w:rsidRPr="00000000">
        <w:rPr>
          <w:rFonts w:ascii="Calibri" w:cs="Calibri" w:eastAsia="Calibri" w:hAnsi="Calibri"/>
          <w:color w:val="263546"/>
          <w:rtl w:val="0"/>
        </w:rPr>
        <w:t xml:space="preserve"> </w:t>
      </w:r>
      <w:r w:rsidDel="00000000" w:rsidR="00000000" w:rsidRPr="00000000">
        <w:rPr>
          <w:rtl w:val="0"/>
        </w:rPr>
      </w:r>
    </w:p>
    <w:sectPr>
      <w:headerReference r:id="rId6" w:type="default"/>
      <w:headerReference r:id="rId7" w:type="first"/>
      <w:footerReference r:id="rId8"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NCFCA × Southeastern University (COMM 1443)</w:t>
    </w:r>
  </w:p>
  <w:p w:rsidR="00000000" w:rsidDel="00000000" w:rsidP="00000000" w:rsidRDefault="00000000" w:rsidRPr="00000000" w14:paraId="00000021">
    <w:pPr>
      <w:rPr>
        <w:sz w:val="40"/>
        <w:szCs w:val="40"/>
      </w:rPr>
    </w:pPr>
    <w:r w:rsidDel="00000000" w:rsidR="00000000" w:rsidRPr="00000000">
      <w:rPr>
        <w:sz w:val="40"/>
        <w:szCs w:val="40"/>
        <w:rtl w:val="0"/>
      </w:rPr>
      <w:t xml:space="preserve">Turn NCFCA preparation into college credit.</w:t>
    </w:r>
  </w:p>
  <w:p w:rsidR="00000000" w:rsidDel="00000000" w:rsidP="00000000" w:rsidRDefault="00000000" w:rsidRPr="00000000" w14:paraId="00000022">
    <w:pPr>
      <w:rPr/>
    </w:pP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